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A36FC" w14:textId="074647C8" w:rsidR="004C68AC" w:rsidRPr="004C68AC" w:rsidRDefault="004C68AC" w:rsidP="004C68AC">
      <w:pPr>
        <w:spacing w:before="240" w:after="240"/>
        <w:jc w:val="center"/>
        <w:rPr>
          <w:i/>
          <w:iCs/>
        </w:rPr>
      </w:pPr>
      <w:r w:rsidRPr="004C68AC">
        <w:rPr>
          <w:i/>
          <w:iCs/>
        </w:rPr>
        <w:t>A</w:t>
      </w:r>
      <w:r w:rsidRPr="004C68AC">
        <w:rPr>
          <w:i/>
          <w:iCs/>
        </w:rPr>
        <w:t>pmācību cikl</w:t>
      </w:r>
      <w:r w:rsidRPr="004C68AC">
        <w:rPr>
          <w:i/>
          <w:iCs/>
        </w:rPr>
        <w:t>s</w:t>
      </w:r>
      <w:r>
        <w:rPr>
          <w:i/>
          <w:iCs/>
        </w:rPr>
        <w:t xml:space="preserve"> mazajiem ražotājiem</w:t>
      </w:r>
      <w:r w:rsidRPr="004C68AC">
        <w:rPr>
          <w:i/>
          <w:iCs/>
        </w:rPr>
        <w:t xml:space="preserve"> "Solis augšup uz panākumiem"</w:t>
      </w:r>
    </w:p>
    <w:p w14:paraId="2B0CB930" w14:textId="41DA5E23" w:rsidR="004C68AC" w:rsidRDefault="004C68AC" w:rsidP="004C68AC">
      <w:pPr>
        <w:spacing w:before="240" w:after="240" w:line="240" w:lineRule="auto"/>
        <w:jc w:val="both"/>
      </w:pPr>
      <w:r w:rsidRPr="004C68AC">
        <w:t>Lai veicinātu mazās uzņēmējdarbības attīstību laukos un piekrastē Kurzemē un lai spēcinātu mazos uzņēmējus , Kurzemes vietējās rīcības grupas* organizē apmācību ciklu mazajiem ražotājiem no visas Kurzemes.</w:t>
      </w:r>
    </w:p>
    <w:p w14:paraId="1F645E27" w14:textId="43392DF4" w:rsidR="004C68AC" w:rsidRDefault="004C68AC" w:rsidP="004C68AC">
      <w:pPr>
        <w:spacing w:before="240" w:after="240" w:line="240" w:lineRule="auto"/>
        <w:jc w:val="both"/>
      </w:pPr>
      <w:r>
        <w:t xml:space="preserve">Aicinām pieteikties amatniekus, mājražotājus un citus mazos nelauksaimniecības produkcijas ražotājus pietiekties uz  </w:t>
      </w:r>
      <w:bookmarkStart w:id="0" w:name="_Hlk164868675"/>
      <w:r>
        <w:t xml:space="preserve">apmācību cikla "Solis augšup uz panākumiem" </w:t>
      </w:r>
      <w:bookmarkEnd w:id="0"/>
      <w:r>
        <w:t>4 apmācību moduļiem  par tēmām: Zīmolvedība, Sociālo tīklu nozīme, Mana produkta cenas noteikšana un citi uzņēmējdarbības jautājumi, Preču zīmes aizsardzības nozīme, Eksports un tā iespējas un Inovācijas.</w:t>
      </w:r>
      <w:r>
        <w:t xml:space="preserve"> </w:t>
      </w:r>
    </w:p>
    <w:p w14:paraId="76E4BD00" w14:textId="79AA917F" w:rsidR="004C68AC" w:rsidRDefault="004C68AC" w:rsidP="004C68AC">
      <w:pPr>
        <w:spacing w:before="240" w:after="240" w:line="240" w:lineRule="auto"/>
      </w:pPr>
      <w:r>
        <w:t xml:space="preserve">Aicinām pieteikties līdz 13. maijam: </w:t>
      </w:r>
      <w:hyperlink r:id="rId4" w:history="1">
        <w:r w:rsidRPr="004C68AC">
          <w:rPr>
            <w:rStyle w:val="Hipersaite"/>
          </w:rPr>
          <w:t>(https://forms.gle/muBEhDfg21ZPSiVP8)</w:t>
        </w:r>
      </w:hyperlink>
      <w:r>
        <w:t xml:space="preserve">  Vietu skaits ierobežots.</w:t>
      </w:r>
    </w:p>
    <w:p w14:paraId="569C6867" w14:textId="09009870" w:rsidR="00655C2E" w:rsidRDefault="00000000" w:rsidP="004C68AC">
      <w:pPr>
        <w:spacing w:before="240" w:after="240" w:line="240" w:lineRule="auto"/>
        <w:rPr>
          <w:b/>
        </w:rPr>
      </w:pPr>
      <w:r>
        <w:t>Apmācību norises datumi un tēmas (</w:t>
      </w:r>
      <w:r>
        <w:rPr>
          <w:i/>
        </w:rPr>
        <w:t>tēmas var tikt vēl pielāgotas):</w:t>
      </w:r>
    </w:p>
    <w:tbl>
      <w:tblPr>
        <w:tblStyle w:val="a"/>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8"/>
        <w:gridCol w:w="2257"/>
        <w:gridCol w:w="2257"/>
        <w:gridCol w:w="2257"/>
      </w:tblGrid>
      <w:tr w:rsidR="00655C2E" w14:paraId="40CC0EC3" w14:textId="77777777" w:rsidTr="004C68AC">
        <w:tc>
          <w:tcPr>
            <w:tcW w:w="2258" w:type="dxa"/>
            <w:shd w:val="clear" w:color="auto" w:fill="auto"/>
            <w:tcMar>
              <w:top w:w="100" w:type="dxa"/>
              <w:left w:w="100" w:type="dxa"/>
              <w:bottom w:w="100" w:type="dxa"/>
              <w:right w:w="100" w:type="dxa"/>
            </w:tcMar>
          </w:tcPr>
          <w:p w14:paraId="3CC554BD" w14:textId="77777777" w:rsidR="00655C2E" w:rsidRDefault="00000000">
            <w:pPr>
              <w:widowControl w:val="0"/>
              <w:spacing w:line="240" w:lineRule="auto"/>
            </w:pPr>
            <w:r>
              <w:t>Datums</w:t>
            </w:r>
          </w:p>
        </w:tc>
        <w:tc>
          <w:tcPr>
            <w:tcW w:w="2257" w:type="dxa"/>
            <w:shd w:val="clear" w:color="auto" w:fill="auto"/>
            <w:tcMar>
              <w:top w:w="100" w:type="dxa"/>
              <w:left w:w="100" w:type="dxa"/>
              <w:bottom w:w="100" w:type="dxa"/>
              <w:right w:w="100" w:type="dxa"/>
            </w:tcMar>
          </w:tcPr>
          <w:p w14:paraId="7950AAE0" w14:textId="77777777" w:rsidR="00655C2E" w:rsidRDefault="00000000">
            <w:pPr>
              <w:widowControl w:val="0"/>
              <w:spacing w:line="240" w:lineRule="auto"/>
            </w:pPr>
            <w:r>
              <w:t>Pasākuma</w:t>
            </w:r>
          </w:p>
        </w:tc>
        <w:tc>
          <w:tcPr>
            <w:tcW w:w="2257" w:type="dxa"/>
            <w:shd w:val="clear" w:color="auto" w:fill="auto"/>
            <w:tcMar>
              <w:top w:w="100" w:type="dxa"/>
              <w:left w:w="100" w:type="dxa"/>
              <w:bottom w:w="100" w:type="dxa"/>
              <w:right w:w="100" w:type="dxa"/>
            </w:tcMar>
          </w:tcPr>
          <w:p w14:paraId="26B859E0" w14:textId="77777777" w:rsidR="00655C2E" w:rsidRDefault="00000000">
            <w:pPr>
              <w:widowControl w:val="0"/>
              <w:spacing w:line="240" w:lineRule="auto"/>
            </w:pPr>
            <w:r>
              <w:t>Vieta</w:t>
            </w:r>
          </w:p>
        </w:tc>
        <w:tc>
          <w:tcPr>
            <w:tcW w:w="2257" w:type="dxa"/>
            <w:shd w:val="clear" w:color="auto" w:fill="auto"/>
            <w:tcMar>
              <w:top w:w="100" w:type="dxa"/>
              <w:left w:w="100" w:type="dxa"/>
              <w:bottom w:w="100" w:type="dxa"/>
              <w:right w:w="100" w:type="dxa"/>
            </w:tcMar>
          </w:tcPr>
          <w:p w14:paraId="095C9BA7" w14:textId="77777777" w:rsidR="00655C2E" w:rsidRDefault="00000000">
            <w:pPr>
              <w:widowControl w:val="0"/>
              <w:spacing w:line="240" w:lineRule="auto"/>
            </w:pPr>
            <w:r>
              <w:t>Tēma</w:t>
            </w:r>
          </w:p>
        </w:tc>
      </w:tr>
      <w:tr w:rsidR="00655C2E" w14:paraId="1E9701AE" w14:textId="77777777" w:rsidTr="004C68AC">
        <w:tc>
          <w:tcPr>
            <w:tcW w:w="2258" w:type="dxa"/>
            <w:shd w:val="clear" w:color="auto" w:fill="auto"/>
            <w:tcMar>
              <w:top w:w="100" w:type="dxa"/>
              <w:left w:w="100" w:type="dxa"/>
              <w:bottom w:w="100" w:type="dxa"/>
              <w:right w:w="100" w:type="dxa"/>
            </w:tcMar>
          </w:tcPr>
          <w:p w14:paraId="6F5F3869" w14:textId="67421CED" w:rsidR="00655C2E" w:rsidRDefault="00000000">
            <w:pPr>
              <w:widowControl w:val="0"/>
              <w:spacing w:line="240" w:lineRule="auto"/>
            </w:pPr>
            <w:r>
              <w:t>16.05.2024*</w:t>
            </w:r>
            <w:r w:rsidR="004C68AC">
              <w:t>*</w:t>
            </w:r>
          </w:p>
        </w:tc>
        <w:tc>
          <w:tcPr>
            <w:tcW w:w="2257" w:type="dxa"/>
            <w:shd w:val="clear" w:color="auto" w:fill="auto"/>
            <w:tcMar>
              <w:top w:w="100" w:type="dxa"/>
              <w:left w:w="100" w:type="dxa"/>
              <w:bottom w:w="100" w:type="dxa"/>
              <w:right w:w="100" w:type="dxa"/>
            </w:tcMar>
          </w:tcPr>
          <w:p w14:paraId="330411BA" w14:textId="77777777" w:rsidR="00655C2E" w:rsidRDefault="00000000">
            <w:pPr>
              <w:widowControl w:val="0"/>
              <w:spacing w:line="240" w:lineRule="auto"/>
            </w:pPr>
            <w:r>
              <w:t>Atklāšanas pasākums</w:t>
            </w:r>
          </w:p>
          <w:p w14:paraId="3E28D088" w14:textId="77777777" w:rsidR="00655C2E" w:rsidRDefault="00000000">
            <w:pPr>
              <w:widowControl w:val="0"/>
              <w:spacing w:line="240" w:lineRule="auto"/>
            </w:pPr>
            <w:r>
              <w:t>Apmācības Nr. 1</w:t>
            </w:r>
          </w:p>
        </w:tc>
        <w:tc>
          <w:tcPr>
            <w:tcW w:w="2257" w:type="dxa"/>
            <w:shd w:val="clear" w:color="auto" w:fill="auto"/>
            <w:tcMar>
              <w:top w:w="100" w:type="dxa"/>
              <w:left w:w="100" w:type="dxa"/>
              <w:bottom w:w="100" w:type="dxa"/>
              <w:right w:w="100" w:type="dxa"/>
            </w:tcMar>
          </w:tcPr>
          <w:p w14:paraId="3ED4C194" w14:textId="77777777" w:rsidR="00655C2E" w:rsidRDefault="00000000">
            <w:pPr>
              <w:widowControl w:val="0"/>
              <w:spacing w:line="240" w:lineRule="auto"/>
            </w:pPr>
            <w:r>
              <w:t>“Kļaviņs Piano koncertzāle”, Kaļķu iela 16, Kuldīga</w:t>
            </w:r>
          </w:p>
        </w:tc>
        <w:tc>
          <w:tcPr>
            <w:tcW w:w="2257" w:type="dxa"/>
            <w:shd w:val="clear" w:color="auto" w:fill="auto"/>
            <w:tcMar>
              <w:top w:w="100" w:type="dxa"/>
              <w:left w:w="100" w:type="dxa"/>
              <w:bottom w:w="100" w:type="dxa"/>
              <w:right w:w="100" w:type="dxa"/>
            </w:tcMar>
          </w:tcPr>
          <w:p w14:paraId="0313323F" w14:textId="77777777" w:rsidR="00655C2E" w:rsidRDefault="00000000">
            <w:pPr>
              <w:widowControl w:val="0"/>
              <w:spacing w:line="240" w:lineRule="auto"/>
            </w:pPr>
            <w:r>
              <w:t xml:space="preserve">Sadarbība, Sociālie tīkli un video meistarklase </w:t>
            </w:r>
          </w:p>
          <w:p w14:paraId="127B4872" w14:textId="77777777" w:rsidR="00655C2E" w:rsidRDefault="00655C2E">
            <w:pPr>
              <w:widowControl w:val="0"/>
              <w:spacing w:line="240" w:lineRule="auto"/>
            </w:pPr>
          </w:p>
        </w:tc>
      </w:tr>
      <w:tr w:rsidR="00655C2E" w14:paraId="15CE9748" w14:textId="77777777" w:rsidTr="004C68AC">
        <w:tc>
          <w:tcPr>
            <w:tcW w:w="2258" w:type="dxa"/>
            <w:shd w:val="clear" w:color="auto" w:fill="auto"/>
            <w:tcMar>
              <w:top w:w="100" w:type="dxa"/>
              <w:left w:w="100" w:type="dxa"/>
              <w:bottom w:w="100" w:type="dxa"/>
              <w:right w:w="100" w:type="dxa"/>
            </w:tcMar>
          </w:tcPr>
          <w:p w14:paraId="22282689" w14:textId="77777777" w:rsidR="00655C2E" w:rsidRDefault="00000000">
            <w:pPr>
              <w:widowControl w:val="0"/>
              <w:spacing w:line="240" w:lineRule="auto"/>
            </w:pPr>
            <w:r>
              <w:t>26.09.2024</w:t>
            </w:r>
          </w:p>
        </w:tc>
        <w:tc>
          <w:tcPr>
            <w:tcW w:w="2257" w:type="dxa"/>
            <w:shd w:val="clear" w:color="auto" w:fill="auto"/>
            <w:tcMar>
              <w:top w:w="100" w:type="dxa"/>
              <w:left w:w="100" w:type="dxa"/>
              <w:bottom w:w="100" w:type="dxa"/>
              <w:right w:w="100" w:type="dxa"/>
            </w:tcMar>
          </w:tcPr>
          <w:p w14:paraId="795B23B1" w14:textId="77777777" w:rsidR="00655C2E" w:rsidRDefault="00000000">
            <w:pPr>
              <w:widowControl w:val="0"/>
              <w:spacing w:line="240" w:lineRule="auto"/>
            </w:pPr>
            <w:r>
              <w:t>Apmācības Nr. 2</w:t>
            </w:r>
          </w:p>
        </w:tc>
        <w:tc>
          <w:tcPr>
            <w:tcW w:w="2257" w:type="dxa"/>
            <w:shd w:val="clear" w:color="auto" w:fill="auto"/>
            <w:tcMar>
              <w:top w:w="100" w:type="dxa"/>
              <w:left w:w="100" w:type="dxa"/>
              <w:bottom w:w="100" w:type="dxa"/>
              <w:right w:w="100" w:type="dxa"/>
            </w:tcMar>
          </w:tcPr>
          <w:p w14:paraId="387539E8" w14:textId="77777777" w:rsidR="00655C2E" w:rsidRDefault="00000000">
            <w:pPr>
              <w:widowControl w:val="0"/>
              <w:spacing w:line="240" w:lineRule="auto"/>
            </w:pPr>
            <w:r>
              <w:t>Zoom tiešsaiste</w:t>
            </w:r>
          </w:p>
        </w:tc>
        <w:tc>
          <w:tcPr>
            <w:tcW w:w="2257" w:type="dxa"/>
            <w:shd w:val="clear" w:color="auto" w:fill="auto"/>
            <w:tcMar>
              <w:top w:w="100" w:type="dxa"/>
              <w:left w:w="100" w:type="dxa"/>
              <w:bottom w:w="100" w:type="dxa"/>
              <w:right w:w="100" w:type="dxa"/>
            </w:tcMar>
          </w:tcPr>
          <w:p w14:paraId="043B55D2" w14:textId="77777777" w:rsidR="00655C2E" w:rsidRDefault="00000000">
            <w:pPr>
              <w:widowControl w:val="0"/>
              <w:spacing w:line="240" w:lineRule="auto"/>
            </w:pPr>
            <w:r>
              <w:t>Uzņēmējdarbība praktiski (Finanses un nodokļi)</w:t>
            </w:r>
          </w:p>
          <w:p w14:paraId="73581946" w14:textId="77777777" w:rsidR="00655C2E" w:rsidRDefault="00655C2E">
            <w:pPr>
              <w:widowControl w:val="0"/>
              <w:spacing w:line="240" w:lineRule="auto"/>
            </w:pPr>
          </w:p>
        </w:tc>
      </w:tr>
      <w:tr w:rsidR="00655C2E" w14:paraId="1CC9B88D" w14:textId="77777777" w:rsidTr="004C68AC">
        <w:tc>
          <w:tcPr>
            <w:tcW w:w="2258" w:type="dxa"/>
            <w:shd w:val="clear" w:color="auto" w:fill="auto"/>
            <w:tcMar>
              <w:top w:w="100" w:type="dxa"/>
              <w:left w:w="100" w:type="dxa"/>
              <w:bottom w:w="100" w:type="dxa"/>
              <w:right w:w="100" w:type="dxa"/>
            </w:tcMar>
          </w:tcPr>
          <w:p w14:paraId="318E5A95" w14:textId="77777777" w:rsidR="00655C2E" w:rsidRDefault="00000000">
            <w:pPr>
              <w:widowControl w:val="0"/>
              <w:spacing w:line="240" w:lineRule="auto"/>
            </w:pPr>
            <w:r>
              <w:t>17.10.2024</w:t>
            </w:r>
          </w:p>
        </w:tc>
        <w:tc>
          <w:tcPr>
            <w:tcW w:w="2257" w:type="dxa"/>
            <w:shd w:val="clear" w:color="auto" w:fill="auto"/>
            <w:tcMar>
              <w:top w:w="100" w:type="dxa"/>
              <w:left w:w="100" w:type="dxa"/>
              <w:bottom w:w="100" w:type="dxa"/>
              <w:right w:w="100" w:type="dxa"/>
            </w:tcMar>
          </w:tcPr>
          <w:p w14:paraId="3D35CD29" w14:textId="77777777" w:rsidR="00655C2E" w:rsidRDefault="00000000">
            <w:pPr>
              <w:widowControl w:val="0"/>
              <w:spacing w:line="240" w:lineRule="auto"/>
            </w:pPr>
            <w:r>
              <w:t>Apmācības Nr. 3</w:t>
            </w:r>
          </w:p>
        </w:tc>
        <w:tc>
          <w:tcPr>
            <w:tcW w:w="2257" w:type="dxa"/>
            <w:shd w:val="clear" w:color="auto" w:fill="auto"/>
            <w:tcMar>
              <w:top w:w="100" w:type="dxa"/>
              <w:left w:w="100" w:type="dxa"/>
              <w:bottom w:w="100" w:type="dxa"/>
              <w:right w:w="100" w:type="dxa"/>
            </w:tcMar>
          </w:tcPr>
          <w:p w14:paraId="540C7F3A" w14:textId="77777777" w:rsidR="00655C2E" w:rsidRDefault="00000000">
            <w:pPr>
              <w:widowControl w:val="0"/>
              <w:spacing w:line="240" w:lineRule="auto"/>
            </w:pPr>
            <w:r>
              <w:t>Zoom tiešsaiste</w:t>
            </w:r>
          </w:p>
        </w:tc>
        <w:tc>
          <w:tcPr>
            <w:tcW w:w="2257" w:type="dxa"/>
            <w:shd w:val="clear" w:color="auto" w:fill="auto"/>
            <w:tcMar>
              <w:top w:w="100" w:type="dxa"/>
              <w:left w:w="100" w:type="dxa"/>
              <w:bottom w:w="100" w:type="dxa"/>
              <w:right w:w="100" w:type="dxa"/>
            </w:tcMar>
          </w:tcPr>
          <w:p w14:paraId="7E79AC08" w14:textId="77777777" w:rsidR="00655C2E" w:rsidRDefault="00000000">
            <w:pPr>
              <w:widowControl w:val="0"/>
              <w:spacing w:line="240" w:lineRule="auto"/>
            </w:pPr>
            <w:r>
              <w:t>Zīmolvedība un Preču zīmes aizsardzība</w:t>
            </w:r>
          </w:p>
        </w:tc>
      </w:tr>
      <w:tr w:rsidR="00655C2E" w14:paraId="3E65B4C8" w14:textId="77777777" w:rsidTr="004C68AC">
        <w:tc>
          <w:tcPr>
            <w:tcW w:w="2258" w:type="dxa"/>
            <w:shd w:val="clear" w:color="auto" w:fill="auto"/>
            <w:tcMar>
              <w:top w:w="100" w:type="dxa"/>
              <w:left w:w="100" w:type="dxa"/>
              <w:bottom w:w="100" w:type="dxa"/>
              <w:right w:w="100" w:type="dxa"/>
            </w:tcMar>
          </w:tcPr>
          <w:p w14:paraId="01B9C6A1" w14:textId="77777777" w:rsidR="00655C2E" w:rsidRDefault="00000000">
            <w:pPr>
              <w:widowControl w:val="0"/>
              <w:spacing w:line="240" w:lineRule="auto"/>
            </w:pPr>
            <w:r>
              <w:t>30.01.2025</w:t>
            </w:r>
          </w:p>
        </w:tc>
        <w:tc>
          <w:tcPr>
            <w:tcW w:w="2257" w:type="dxa"/>
            <w:shd w:val="clear" w:color="auto" w:fill="auto"/>
            <w:tcMar>
              <w:top w:w="100" w:type="dxa"/>
              <w:left w:w="100" w:type="dxa"/>
              <w:bottom w:w="100" w:type="dxa"/>
              <w:right w:w="100" w:type="dxa"/>
            </w:tcMar>
          </w:tcPr>
          <w:p w14:paraId="4F05B3F4" w14:textId="77777777" w:rsidR="00655C2E" w:rsidRDefault="00000000">
            <w:pPr>
              <w:widowControl w:val="0"/>
              <w:spacing w:line="240" w:lineRule="auto"/>
            </w:pPr>
            <w:r>
              <w:t>Noslēguma pasākums</w:t>
            </w:r>
          </w:p>
          <w:p w14:paraId="28D56A97" w14:textId="77777777" w:rsidR="00655C2E" w:rsidRDefault="00000000">
            <w:pPr>
              <w:widowControl w:val="0"/>
              <w:spacing w:line="240" w:lineRule="auto"/>
            </w:pPr>
            <w:r>
              <w:t>Apmācības Nr. 4</w:t>
            </w:r>
          </w:p>
        </w:tc>
        <w:tc>
          <w:tcPr>
            <w:tcW w:w="2257" w:type="dxa"/>
            <w:shd w:val="clear" w:color="auto" w:fill="auto"/>
            <w:tcMar>
              <w:top w:w="100" w:type="dxa"/>
              <w:left w:w="100" w:type="dxa"/>
              <w:bottom w:w="100" w:type="dxa"/>
              <w:right w:w="100" w:type="dxa"/>
            </w:tcMar>
          </w:tcPr>
          <w:p w14:paraId="1E66F042" w14:textId="77777777" w:rsidR="00655C2E" w:rsidRDefault="00000000">
            <w:pPr>
              <w:widowControl w:val="0"/>
              <w:spacing w:line="240" w:lineRule="auto"/>
            </w:pPr>
            <w:r>
              <w:t>Vieta tiks precizēta</w:t>
            </w:r>
          </w:p>
        </w:tc>
        <w:tc>
          <w:tcPr>
            <w:tcW w:w="2257" w:type="dxa"/>
            <w:shd w:val="clear" w:color="auto" w:fill="auto"/>
            <w:tcMar>
              <w:top w:w="100" w:type="dxa"/>
              <w:left w:w="100" w:type="dxa"/>
              <w:bottom w:w="100" w:type="dxa"/>
              <w:right w:w="100" w:type="dxa"/>
            </w:tcMar>
          </w:tcPr>
          <w:p w14:paraId="6E1BDFCD" w14:textId="77777777" w:rsidR="00655C2E" w:rsidRDefault="00000000">
            <w:pPr>
              <w:widowControl w:val="0"/>
              <w:spacing w:line="240" w:lineRule="auto"/>
            </w:pPr>
            <w:r>
              <w:t>Eksports un Inovācijas</w:t>
            </w:r>
          </w:p>
        </w:tc>
      </w:tr>
    </w:tbl>
    <w:p w14:paraId="6B5C7968" w14:textId="77777777" w:rsidR="004C68AC" w:rsidRDefault="004C68AC" w:rsidP="004C68AC">
      <w:pPr>
        <w:spacing w:before="240" w:after="240" w:line="240" w:lineRule="auto"/>
        <w:jc w:val="both"/>
      </w:pPr>
      <w:r>
        <w:t>** ‍16. maijā 2024 - Kuldīgā klātienē "Atklāšanas pasākums un tēma "Sociālo tīklu nozīme un video veidošanas meistarklase"" kopā ar lektoriem Ilze Švarcbaha un Agnese Skrastīte</w:t>
      </w:r>
    </w:p>
    <w:p w14:paraId="079D7A29" w14:textId="77777777" w:rsidR="004C68AC" w:rsidRDefault="004C68AC" w:rsidP="004C68AC">
      <w:pPr>
        <w:spacing w:before="240" w:after="240" w:line="240" w:lineRule="auto"/>
        <w:jc w:val="both"/>
      </w:pPr>
      <w:r>
        <w:t>Cikla laikā dalībnieki varēs nobalsot par vēl neiekļautu , bet sev interesējošu tēmu, kuru iekļaut šajā apmācību ciklā. Apmeklējot klātienes pasākumus liels akcents tiks likts uz savstarpēju iepazīšanos starp uzņēmējiem, lai uzzinātu viens par otru un veicinātu jaunu sadarbību veidošanos vai arī jaunu pieredžu apmaiņas.</w:t>
      </w:r>
    </w:p>
    <w:p w14:paraId="6677839B" w14:textId="77777777" w:rsidR="004C68AC" w:rsidRDefault="004C68AC" w:rsidP="004C68AC">
      <w:pPr>
        <w:spacing w:before="240" w:after="240" w:line="240" w:lineRule="auto"/>
        <w:jc w:val="both"/>
      </w:pPr>
      <w:r>
        <w:t>Klātienes pasākumi ir ar nelielu līdzmaksājumu. Katrs dalībniekam iesakām apmeklēt visus četrus mācību moduļus ciklā, bet noteikti ir jāapmeklē vismaz 2 no četriem apmācību moduļiem.</w:t>
      </w:r>
    </w:p>
    <w:p w14:paraId="57651135" w14:textId="14CBB8A6" w:rsidR="004C68AC" w:rsidRDefault="004C68AC" w:rsidP="004C68AC">
      <w:pPr>
        <w:spacing w:before="240" w:after="240" w:line="240" w:lineRule="auto"/>
        <w:jc w:val="both"/>
      </w:pPr>
      <w:r>
        <w:t xml:space="preserve">‍*Pasākumu organizē "Ziemeļkurzemes biznesa asociācija", "Saldus rajona attīstības biedrība", "Kandavas Partnerība", "Liepājas rajona partnerība", "Talsu rajona Partnerība", "Darīsim paši!" un "Partnerība laukiem un jūrai". </w:t>
      </w:r>
    </w:p>
    <w:p w14:paraId="2CA24BB5" w14:textId="75F49C5E" w:rsidR="00655C2E" w:rsidRDefault="004C68AC" w:rsidP="004C68AC">
      <w:pPr>
        <w:spacing w:before="240" w:after="240"/>
        <w:jc w:val="both"/>
      </w:pPr>
      <w:r>
        <w:t>Pasākumu finansē Eiropas Lauksaimniecības fonds lauku attīstībai/Eiropas Jūrlietu, zvejniecības un akvakultūras fonds.</w:t>
      </w:r>
    </w:p>
    <w:sectPr w:rsidR="00655C2E" w:rsidSect="00E76D33">
      <w:pgSz w:w="11909" w:h="16834"/>
      <w:pgMar w:top="709"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C2E"/>
    <w:rsid w:val="004C68AC"/>
    <w:rsid w:val="00655C2E"/>
    <w:rsid w:val="00E76D3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C449B"/>
  <w15:docId w15:val="{D5F2216D-C8BE-40A6-9286-E31ABF201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lv" w:eastAsia="lv-LV"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uiPriority w:val="9"/>
    <w:qFormat/>
    <w:pPr>
      <w:keepNext/>
      <w:keepLines/>
      <w:spacing w:before="400" w:after="120"/>
      <w:outlineLvl w:val="0"/>
    </w:pPr>
    <w:rPr>
      <w:sz w:val="40"/>
      <w:szCs w:val="40"/>
    </w:rPr>
  </w:style>
  <w:style w:type="paragraph" w:styleId="Virsraksts2">
    <w:name w:val="heading 2"/>
    <w:basedOn w:val="Parasts"/>
    <w:next w:val="Parasts"/>
    <w:uiPriority w:val="9"/>
    <w:semiHidden/>
    <w:unhideWhenUsed/>
    <w:qFormat/>
    <w:pPr>
      <w:keepNext/>
      <w:keepLines/>
      <w:spacing w:before="360" w:after="120"/>
      <w:outlineLvl w:val="1"/>
    </w:pPr>
    <w:rPr>
      <w:sz w:val="32"/>
      <w:szCs w:val="32"/>
    </w:rPr>
  </w:style>
  <w:style w:type="paragraph" w:styleId="Virsraksts3">
    <w:name w:val="heading 3"/>
    <w:basedOn w:val="Parasts"/>
    <w:next w:val="Parasts"/>
    <w:uiPriority w:val="9"/>
    <w:semiHidden/>
    <w:unhideWhenUsed/>
    <w:qFormat/>
    <w:pPr>
      <w:keepNext/>
      <w:keepLines/>
      <w:spacing w:before="320" w:after="80"/>
      <w:outlineLvl w:val="2"/>
    </w:pPr>
    <w:rPr>
      <w:color w:val="434343"/>
      <w:sz w:val="28"/>
      <w:szCs w:val="28"/>
    </w:rPr>
  </w:style>
  <w:style w:type="paragraph" w:styleId="Virsraksts4">
    <w:name w:val="heading 4"/>
    <w:basedOn w:val="Parasts"/>
    <w:next w:val="Parasts"/>
    <w:uiPriority w:val="9"/>
    <w:semiHidden/>
    <w:unhideWhenUsed/>
    <w:qFormat/>
    <w:pPr>
      <w:keepNext/>
      <w:keepLines/>
      <w:spacing w:before="280" w:after="80"/>
      <w:outlineLvl w:val="3"/>
    </w:pPr>
    <w:rPr>
      <w:color w:val="666666"/>
      <w:sz w:val="24"/>
      <w:szCs w:val="24"/>
    </w:rPr>
  </w:style>
  <w:style w:type="paragraph" w:styleId="Virsraksts5">
    <w:name w:val="heading 5"/>
    <w:basedOn w:val="Parasts"/>
    <w:next w:val="Parasts"/>
    <w:uiPriority w:val="9"/>
    <w:semiHidden/>
    <w:unhideWhenUsed/>
    <w:qFormat/>
    <w:pPr>
      <w:keepNext/>
      <w:keepLines/>
      <w:spacing w:before="240" w:after="80"/>
      <w:outlineLvl w:val="4"/>
    </w:pPr>
    <w:rPr>
      <w:color w:val="666666"/>
    </w:rPr>
  </w:style>
  <w:style w:type="paragraph" w:styleId="Virsraksts6">
    <w:name w:val="heading 6"/>
    <w:basedOn w:val="Parasts"/>
    <w:next w:val="Parasts"/>
    <w:uiPriority w:val="9"/>
    <w:semiHidden/>
    <w:unhideWhenUsed/>
    <w:qFormat/>
    <w:pPr>
      <w:keepNext/>
      <w:keepLines/>
      <w:spacing w:before="240" w:after="80"/>
      <w:outlineLvl w:val="5"/>
    </w:pPr>
    <w:rPr>
      <w:i/>
      <w:color w:val="66666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after="60"/>
    </w:pPr>
    <w:rPr>
      <w:sz w:val="52"/>
      <w:szCs w:val="52"/>
    </w:rPr>
  </w:style>
  <w:style w:type="paragraph" w:styleId="Apakvirsraksts">
    <w:name w:val="Subtitle"/>
    <w:basedOn w:val="Parasts"/>
    <w:next w:val="Parasts"/>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ipersaite">
    <w:name w:val="Hyperlink"/>
    <w:basedOn w:val="Noklusjumarindkopasfonts"/>
    <w:uiPriority w:val="99"/>
    <w:unhideWhenUsed/>
    <w:rsid w:val="004C68AC"/>
    <w:rPr>
      <w:color w:val="0000FF" w:themeColor="hyperlink"/>
      <w:u w:val="single"/>
    </w:rPr>
  </w:style>
  <w:style w:type="character" w:styleId="Neatrisintapieminana">
    <w:name w:val="Unresolved Mention"/>
    <w:basedOn w:val="Noklusjumarindkopasfonts"/>
    <w:uiPriority w:val="99"/>
    <w:semiHidden/>
    <w:unhideWhenUsed/>
    <w:rsid w:val="004C6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ile:///C:\Users\Inta\Downloads\(https:\forms.gle\muBEhDfg21ZPSiVP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1501</Words>
  <Characters>857</Characters>
  <Application>Microsoft Office Word</Application>
  <DocSecurity>0</DocSecurity>
  <Lines>7</Lines>
  <Paragraphs>4</Paragraphs>
  <ScaleCrop>false</ScaleCrop>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 H</dc:creator>
  <cp:lastModifiedBy>INTA H</cp:lastModifiedBy>
  <cp:revision>2</cp:revision>
  <dcterms:created xsi:type="dcterms:W3CDTF">2024-04-24T13:34:00Z</dcterms:created>
  <dcterms:modified xsi:type="dcterms:W3CDTF">2024-04-24T13:34:00Z</dcterms:modified>
</cp:coreProperties>
</file>